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6A" w:rsidRPr="00E416D9" w:rsidRDefault="00E6676A" w:rsidP="00E6676A">
      <w:pPr>
        <w:jc w:val="center"/>
        <w:rPr>
          <w:rFonts w:asciiTheme="minorHAnsi" w:hAnsiTheme="minorHAnsi" w:cstheme="minorHAnsi"/>
          <w:b/>
          <w:sz w:val="28"/>
          <w:szCs w:val="28"/>
        </w:rPr>
      </w:pPr>
      <w:r>
        <w:rPr>
          <w:rFonts w:asciiTheme="minorHAnsi" w:hAnsiTheme="minorHAnsi" w:cstheme="minorHAnsi"/>
          <w:b/>
          <w:sz w:val="28"/>
          <w:szCs w:val="28"/>
        </w:rPr>
        <w:t>V</w:t>
      </w:r>
      <w:r w:rsidRPr="00E416D9">
        <w:rPr>
          <w:rFonts w:asciiTheme="minorHAnsi" w:hAnsiTheme="minorHAnsi" w:cstheme="minorHAnsi"/>
          <w:b/>
          <w:sz w:val="28"/>
          <w:szCs w:val="28"/>
        </w:rPr>
        <w:t>EDTÆGTER FOR KALUNDBORG LÆRERKREDS</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sz w:val="24"/>
          <w:szCs w:val="24"/>
        </w:rPr>
        <w:t>Kredsens navn er Kalundborg Lærerkreds, Danmarks Lærerforenings kreds 53. Kredsen er hjemmehørende i Kalundborg Kommune.</w:t>
      </w:r>
    </w:p>
    <w:p w:rsidR="00E6676A" w:rsidRPr="00E416D9" w:rsidRDefault="00E6676A" w:rsidP="00E6676A">
      <w:pPr>
        <w:tabs>
          <w:tab w:val="left" w:pos="3048"/>
        </w:tabs>
        <w:rPr>
          <w:rFonts w:asciiTheme="minorHAnsi" w:hAnsiTheme="minorHAnsi" w:cstheme="minorHAnsi"/>
          <w:b/>
          <w:sz w:val="24"/>
          <w:szCs w:val="24"/>
        </w:rPr>
      </w:pPr>
      <w:r w:rsidRPr="00E416D9">
        <w:rPr>
          <w:rFonts w:asciiTheme="minorHAnsi" w:hAnsiTheme="minorHAnsi" w:cstheme="minorHAnsi"/>
          <w:b/>
          <w:sz w:val="24"/>
          <w:szCs w:val="24"/>
        </w:rPr>
        <w:t>§ 2</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Kredsen har til formål inden for kredsens område, Kalundborg kommune, at varetage medlemmernes pædagogiske, økonomiske og tjenstlige interesser samt at styrke sammenholdet mellem medlemmerne og formidle kontakten mellem det enkelte medlem og DLF’s kongres og hovedstyrelse.</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3</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Som medlem kan optages enhver, som er berettiget hertil jf. DLF’s vedtægter § 3 og § 10.</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Indmeldelse sker på foreningens indmeldelsesformular gennem tillidsrepræsentanten eller direkte til kredsens</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kontor. Enhver indmeldelse modtages under forbehold af hovedstyrelsens godkendelse.</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4</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Udmeldelse sker skriftligt til kredsens</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kontor med mindst 1 måneds varsel til en 1. januar, en 1. april, en 1. juli eller en 1. oktober. For dobbeltorganiserede gælder dog det mellem aftaleparterne aftalte jf. DLF’s vedtægter § 5.</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Medlemmer, der trods påkrav ikke har betalt kontingent inden udgangen af hvert kvartal, fortaber medlemsrettighederne, indtil kontingentrestancen er betalt. Medlemmer, der trods påkrav ikke har betalt kontingent, påløbne renter og gebyrer, slettes som medlemmer efter en sletteprocedure, som fastsættes af hovedstyrelsen. Sådanne medlemmer kan kun genoptages efter, at restancen er betalt, eller der er truffet bindende aftale om afvikling af beløbet, og i øvrigt forholder man sig ved genoptagelse som angivet i DLF’s vedtægter § 4.</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5</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xml:space="preserve">Kredskontingenter fastsættes på den ordinære generalforsamling på baggrund af et af styrelsen udarbejdet budget.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Regnskabsåret følger kalenderåret.</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3. Det enkelte medlem af kredsen hæfter over for Kalundborg Lærerkreds’ forpligtelser alene med sit indbetalte og sit forfaldne kontingent til kredsen.</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6</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Når særlige forhold taler derfor, kan styrelsen tilstå et medlem kontingentfrihed for kredskontingent i et år.</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7</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Som en del af kredsen råder Kalundborg Lærerkreds over en Særlig Fond, hvis vedtægter findes som bilag til disse vedtægter for Kalundborg Lærerkreds.</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8</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Generalforsamlingen er kredsens højeste myndighed. Generalforsamlingens beslutninger protokol føres. Mindretallet kan kræve sine særstandpunkter protokol ført i kort form. Protokollen underskrives af formand, dirigent og sekretær.</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9</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xml:space="preserve">Ordinær generalforsamling afholdes én gang årligt i årets første kvartal. Der indvarsles mindst 3 uger i forvejen ved opslag på lærerværelserne samt på </w:t>
      </w:r>
      <w:hyperlink r:id="rId5" w:history="1">
        <w:r w:rsidRPr="00E416D9">
          <w:rPr>
            <w:rStyle w:val="Hyperlink"/>
            <w:rFonts w:asciiTheme="minorHAnsi" w:hAnsiTheme="minorHAnsi" w:cstheme="minorHAnsi"/>
            <w:sz w:val="24"/>
            <w:szCs w:val="24"/>
          </w:rPr>
          <w:t>www.folkeskolen.dk</w:t>
        </w:r>
      </w:hyperlink>
      <w:r w:rsidRPr="00E416D9">
        <w:rPr>
          <w:rFonts w:asciiTheme="minorHAnsi" w:hAnsiTheme="minorHAnsi" w:cstheme="minorHAnsi"/>
          <w:sz w:val="24"/>
          <w:szCs w:val="24"/>
        </w:rPr>
        <w:t xml:space="preserve"> ’s kalender.</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Dagsorden ved den ordinære generalforsamling:</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lastRenderedPageBreak/>
        <w:t xml:space="preserve">1. Valg af dirigent. Valg af stemmetællere og referent. 2. Beretning.  3. Regnskab. 4. Indkomne forslag. 5. Budget og fastsættelse af kredskontingent.  6. Valg jf. vedtægterne § 12 og § 13 stk. 2   </w:t>
      </w:r>
    </w:p>
    <w:p w:rsidR="00E6676A"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7. Eventuelt.</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Forslag, der ønskes behandlet på den ordinære generalforsamling skal</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senest 10 skoledage før generalforsamlingen</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være formanden</w:t>
      </w:r>
      <w:r w:rsidRPr="00E416D9">
        <w:rPr>
          <w:rFonts w:asciiTheme="minorHAnsi" w:hAnsiTheme="minorHAnsi" w:cstheme="minorHAnsi"/>
          <w:b/>
          <w:sz w:val="24"/>
          <w:szCs w:val="24"/>
        </w:rPr>
        <w:t>/</w:t>
      </w:r>
      <w:r w:rsidRPr="00E416D9">
        <w:rPr>
          <w:rFonts w:asciiTheme="minorHAnsi" w:hAnsiTheme="minorHAnsi" w:cstheme="minorHAnsi"/>
          <w:sz w:val="24"/>
          <w:szCs w:val="24"/>
        </w:rPr>
        <w:t>kredskontoret i hænde. Endelig dagsorden meddeles medlemmerne ved opslag på lærerværelset senest 5 dage før generalforsamlingen.</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10</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xml:space="preserve">Ekstraordinær generalforsamling sammenkaldes med mindst 2 ugers varsel ved opslag på lærerværelserne samt på </w:t>
      </w:r>
      <w:hyperlink r:id="rId6" w:history="1">
        <w:r w:rsidRPr="00E416D9">
          <w:rPr>
            <w:rStyle w:val="Hyperlink"/>
            <w:rFonts w:asciiTheme="minorHAnsi" w:hAnsiTheme="minorHAnsi" w:cstheme="minorHAnsi"/>
            <w:sz w:val="24"/>
            <w:szCs w:val="24"/>
          </w:rPr>
          <w:t>www.folkeskolen.dk</w:t>
        </w:r>
      </w:hyperlink>
      <w:r w:rsidRPr="00E416D9">
        <w:rPr>
          <w:rFonts w:asciiTheme="minorHAnsi" w:hAnsiTheme="minorHAnsi" w:cstheme="minorHAnsi"/>
          <w:sz w:val="24"/>
          <w:szCs w:val="24"/>
        </w:rPr>
        <w:t xml:space="preserve"> ’s kalender eller subsidiært pr. brev til medlemmer uden fast tjenestested. Den kan sammenkaldes af formanden eller styrelsen, og den skal sammenkaldes, når mindst 10 % af de stemmeberettigede medlemmer skriftligt begærer det, samtidig med at de angiver hvilken dagsorden, de ønsker behandlet. I sidstnævnte tilfælde skal generalforsamlingen indkaldes senest 1 måned (juli måned fraregnet) efter begæring er fremsat.</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11</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Generalforsamlingen kan træffe beslutning om sager, der er optaget på dagsordenen. Generalforsamlingen er beslutningsdygtig når den er lovligt indkaldt.</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Beslutninger træffes ved simpel stemmeflerhed jf. dog § 18 og § 19.</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Kun almindelige medlemmer</w:t>
      </w:r>
      <w:r w:rsidRPr="00E416D9">
        <w:rPr>
          <w:rFonts w:asciiTheme="minorHAnsi" w:hAnsiTheme="minorHAnsi" w:cstheme="minorHAnsi"/>
          <w:b/>
          <w:sz w:val="24"/>
          <w:szCs w:val="24"/>
        </w:rPr>
        <w:t>,</w:t>
      </w:r>
      <w:r w:rsidRPr="00E416D9">
        <w:rPr>
          <w:rFonts w:asciiTheme="minorHAnsi" w:hAnsiTheme="minorHAnsi" w:cstheme="minorHAnsi"/>
          <w:sz w:val="24"/>
          <w:szCs w:val="24"/>
        </w:rPr>
        <w:t xml:space="preserve"> jf. DLF’s vedtægter § 3,</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er valgbare og har ret til at deltage i afstemningerne ved kredsens generalforsamling.</w:t>
      </w:r>
    </w:p>
    <w:p w:rsidR="008544A1"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12</w:t>
      </w:r>
    </w:p>
    <w:p w:rsidR="00DD69DA" w:rsidRPr="00DD69DA" w:rsidRDefault="00DD69DA" w:rsidP="00DD69DA">
      <w:pPr>
        <w:rPr>
          <w:rFonts w:asciiTheme="minorHAnsi" w:hAnsiTheme="minorHAnsi" w:cstheme="minorHAnsi"/>
          <w:sz w:val="24"/>
          <w:szCs w:val="24"/>
        </w:rPr>
      </w:pPr>
      <w:r w:rsidRPr="00DD69DA">
        <w:rPr>
          <w:rFonts w:asciiTheme="minorHAnsi" w:hAnsiTheme="minorHAnsi" w:cstheme="minorHAnsi"/>
          <w:sz w:val="24"/>
          <w:szCs w:val="24"/>
        </w:rPr>
        <w:t>I lige år foretages valg på den ordinære generalforsamling efter de af hovedstyrelsen fastsatte regler. Der vælges kredsformand. Kredsformanden er automatisk valgt som kongresdelegeret.</w:t>
      </w:r>
    </w:p>
    <w:p w:rsidR="00DD69DA" w:rsidRPr="00DD69DA" w:rsidRDefault="00DD69DA" w:rsidP="00DD69DA">
      <w:pPr>
        <w:rPr>
          <w:rFonts w:asciiTheme="minorHAnsi" w:hAnsiTheme="minorHAnsi" w:cstheme="minorHAnsi"/>
          <w:sz w:val="24"/>
          <w:szCs w:val="24"/>
        </w:rPr>
      </w:pPr>
      <w:r w:rsidRPr="00DD69DA">
        <w:rPr>
          <w:rFonts w:asciiTheme="minorHAnsi" w:hAnsiTheme="minorHAnsi" w:cstheme="minorHAnsi"/>
          <w:sz w:val="24"/>
          <w:szCs w:val="24"/>
        </w:rPr>
        <w:t>Der vælges 4 kredsstyrelsesmedlemmer. Den samlede kredsstyrelse består nu af 5 medlemmer.</w:t>
      </w:r>
    </w:p>
    <w:p w:rsidR="00DD69DA" w:rsidRPr="00DD69DA" w:rsidRDefault="00DD69DA" w:rsidP="00DD69DA">
      <w:pPr>
        <w:rPr>
          <w:rFonts w:asciiTheme="minorHAnsi" w:hAnsiTheme="minorHAnsi" w:cstheme="minorHAnsi"/>
          <w:sz w:val="24"/>
          <w:szCs w:val="24"/>
        </w:rPr>
      </w:pPr>
      <w:r w:rsidRPr="00DD69DA">
        <w:rPr>
          <w:rFonts w:asciiTheme="minorHAnsi" w:hAnsiTheme="minorHAnsi" w:cstheme="minorHAnsi"/>
          <w:sz w:val="24"/>
          <w:szCs w:val="24"/>
        </w:rPr>
        <w:t>Blandt de valgte kredsstyrelsesmedlemmer vælges 1 kongresdelegeret.</w:t>
      </w:r>
    </w:p>
    <w:p w:rsidR="0004269B" w:rsidRPr="00DD69DA" w:rsidRDefault="00DD69DA" w:rsidP="00E6676A">
      <w:pPr>
        <w:rPr>
          <w:rFonts w:asciiTheme="minorHAnsi" w:hAnsiTheme="minorHAnsi" w:cstheme="minorHAnsi"/>
          <w:sz w:val="24"/>
          <w:szCs w:val="24"/>
        </w:rPr>
      </w:pPr>
      <w:r w:rsidRPr="00DD69DA">
        <w:rPr>
          <w:rFonts w:asciiTheme="minorHAnsi" w:hAnsiTheme="minorHAnsi" w:cstheme="minorHAnsi"/>
          <w:sz w:val="24"/>
          <w:szCs w:val="24"/>
        </w:rPr>
        <w:t xml:space="preserve">Blandt de øvrige valgte kredsstyrelsesmedlemmer vælges 2 suppleanter for den kongresdelegerede, der ikke er kredsformand. Der vælges 2 suppleanter til kredsstyrelsen. Suppleanter indtræder i rækkefølge efter højest opnåede stemmetal. Der vælges 2 revisorer og 1 revisorsuppleant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I forbindelse med indvarsling af en valggeneralforsamling indkaldes kandidatforslag til alle valg. Disse forslag skal være kredsformanden/kredskontoret i hænde senest 10 skoledage før generalforsamlingen, hvis navnene skal fremgå af den endelige dagsorden.</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3. Kandidatforslag kan fremsættes af ethvert stemmeberettiget medlem af Kalundborg Lærerkreds, men forudsætter dog, at den foreslåede på forhånd accepterer at modtage valg.</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4. Er der ved fristens udløb indkommet færre kandidatforslag end antallet af poster, som skal besættes, pålægges kredsstyrelsen at foreslå yderligere kandidater, så antallet af kandidater svarer til antallet af poster, som skal besættes.</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5. Kandidaternes navne offentliggøres sammen med den endelige dagsorden og hver kandidat tilbydes samtidig at få udsendt et skriftligt indlæg til støtte for sit kandidatur.</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13</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Den valgte kredsstyrelse konstituerer sig med næstformand, kasserer, sekretær, fællestillidsrepræsentant og formænd for de faste udvalg. Formand og kasserer kan ikke være én og samme person. Kassereren kan udpeges blandt kredsens øvrige medlemmer. Efter valg på en ordinær valggeneralforsamling tiltræder</w:t>
      </w:r>
      <w:r w:rsidRPr="00E416D9">
        <w:rPr>
          <w:rFonts w:asciiTheme="minorHAnsi" w:hAnsiTheme="minorHAnsi" w:cstheme="minorHAnsi"/>
          <w:b/>
          <w:sz w:val="24"/>
          <w:szCs w:val="24"/>
        </w:rPr>
        <w:t xml:space="preserve"> s</w:t>
      </w:r>
      <w:r w:rsidRPr="00E416D9">
        <w:rPr>
          <w:rFonts w:asciiTheme="minorHAnsi" w:hAnsiTheme="minorHAnsi" w:cstheme="minorHAnsi"/>
          <w:sz w:val="24"/>
          <w:szCs w:val="24"/>
        </w:rPr>
        <w:t>tyrelsen sit hverv den 1. april.</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lastRenderedPageBreak/>
        <w:t xml:space="preserve">Stk. 2. Et forslag om mistillidsvotum til styrelsen for kredsen kan behandles på en lovligt indkaldt generalforsamling, såfremt forslaget er rettidigt indgivet til dagsordenen og bekendtgjort sammen med denne.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Vedtager generalforsamlingen forslaget, indkalder styrelsen til en ekstraordinær generalforsamling til afholdelse inden for 1 måned (juli måned fraregnet) med nyvalg af kredsstyrelsen på dagsordenen. Vedtages et mistillidsvotum som ovennævnte på en ekstraordinær generalforsamling 2 måneder eller mindre før den af kredsstyrelsen fastsatte periode for afholdelse af ordinær generalforsamling, udskydes nyvalg hertil.</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3. Den efter et mistillidsvotum nyvalgte kredsstyrelse overtager sit hverv straks.</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14</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Kredsformand og kasserer i forening tegner kredsen i økonomisk henseende, dog kan optagelse af lån kun finde sted efter kredsstyrelsens beslutning. Køb og salg af fast ejendom kan kun finde sted efter beslutning på generalforsamlingen.</w:t>
      </w:r>
    </w:p>
    <w:p w:rsidR="00E6676A" w:rsidRDefault="00E6676A" w:rsidP="00E6676A">
      <w:pPr>
        <w:rPr>
          <w:rFonts w:asciiTheme="minorHAnsi" w:hAnsiTheme="minorHAnsi" w:cstheme="minorHAnsi"/>
          <w:b/>
          <w:sz w:val="24"/>
          <w:szCs w:val="24"/>
        </w:rPr>
      </w:pP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15</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Kredsstyrelsen fastsætter selv sin forretningsorden, dog skal følgende være gældende:</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kredsstyrelsen er beslutningsdygtig, hvis mere end halvdelen af kredsstyrelsesmedlemmerne giver fremmøde. I tilfælde af stemmelighed er formandens stemme udslagsgivende.</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kredsstyrelsen kan nedsætte faste udvalg og ad hoc udvalg og vælger repræsentanter til udvalg mv., hvor kredsen er repræsenteret.</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16</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Kredsstyrelsen foranstalter, at der på hver arbejdsplads inden for kredsens område vælges en tillidsrepræsentant og en suppleant for 2 år ad gangen i henhold til den til enhver tid gældende tillidsrepræsentantaftale på DLF’s organisationsområde samt i henhold til DLF’s vedtægter § 11. Valget af tillidsrepræsentant afholdes i marts måned i ulige år med funktionsperiode fra 1. august.</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Tillidsrepræsentanten repræsenterer DLF på arbejdspladsen og forhandler og indgår aftaler med ledelsen i henhold til overenskomstens bestemmelser og DLF’s interne kompetencefordeling. Endvidere formidler tillidsrepræsentanten samarbejdet mellem medlemmerne på sin arbejdsplads,</w:t>
      </w:r>
      <w:r w:rsidRPr="00E416D9">
        <w:rPr>
          <w:rFonts w:asciiTheme="minorHAnsi" w:hAnsiTheme="minorHAnsi" w:cstheme="minorHAnsi"/>
          <w:b/>
          <w:sz w:val="24"/>
          <w:szCs w:val="24"/>
        </w:rPr>
        <w:t xml:space="preserve"> </w:t>
      </w:r>
      <w:r w:rsidRPr="00E416D9">
        <w:rPr>
          <w:rFonts w:asciiTheme="minorHAnsi" w:hAnsiTheme="minorHAnsi" w:cstheme="minorHAnsi"/>
          <w:sz w:val="24"/>
          <w:szCs w:val="24"/>
        </w:rPr>
        <w:t>kredsstyrelsen og hovedstyrelsen. Tillidsrepræsentanten sørger for, at der oprettes en faglig klub på arbejdspladsen for medlemmer af fraktion 1 og 2. Den faglige klub fastlægger tillidsrepræsentantens forhandlingsmandater i forhold til ledelsen, og fastsætter i øvrigt selv sin forretningsorden og eventuelle vedtægter.</w:t>
      </w:r>
      <w:r w:rsidRPr="00E416D9">
        <w:rPr>
          <w:rFonts w:asciiTheme="minorHAnsi" w:hAnsiTheme="minorHAnsi" w:cstheme="minorHAnsi"/>
          <w:b/>
          <w:sz w:val="24"/>
          <w:szCs w:val="24"/>
        </w:rPr>
        <w:t xml:space="preserve">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Kredsstyrelsen indkalder til jævnlige tillidsrepræsentantmøder, herunder i forbindelse med ordinære kongresser. Der skal afholdes tillidsrepræsentantmøde dersom mindst 2 tillidsrepræsentanter ønsker det.</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xml:space="preserve">Stk. 2. Kredsstyrelsen drager omsorg for, at almindelige medlemmer på tjenestesteder, der ikke opfylder tillidsrepræsentantreglernes betingelser for at kunne vælge en tillidsrepræsentant, vælger en kontaktperson og en suppleant.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 xml:space="preserve">Kredsstyrelsen drager omsorg for at almindelige medlemmer, der ikke har fast tjenestested, vælger en kontaktperson og en stedfortræder ud af egen midte. </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Kredsstyrelsen fastsætter nærmere regler for valg af kontaktperson og dennes stedfortræder jf. DLF’s vedtægter § 11 A og § 11 B.</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3. Et forslag om mistillidsvotum til en tillidsrepræsentant/kontaktperson behandles efter DLF’s vedtægter § 11 stk. 3, § 11 A stk. 3 eller § 11 B stk. 3.</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17</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lastRenderedPageBreak/>
        <w:t>Kredsstyrelsen drager omsorg for, at valg af delegerede til fraktion 4’s årsmøde foregår efter de af hovedforeningen til enhver tid udmeldte retningslinjer.</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sz w:val="24"/>
          <w:szCs w:val="24"/>
        </w:rPr>
        <w:t xml:space="preserve"> </w:t>
      </w:r>
      <w:r w:rsidRPr="00E416D9">
        <w:rPr>
          <w:rFonts w:asciiTheme="minorHAnsi" w:hAnsiTheme="minorHAnsi" w:cstheme="minorHAnsi"/>
          <w:b/>
          <w:sz w:val="24"/>
          <w:szCs w:val="24"/>
        </w:rPr>
        <w:t>§ 18</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Kalundborg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(inklusive stemmer-ikke) stemmer herfor. Opnås der ikke 2/3’s flertal for forslaget, indkaldes der til ekstraordinær generalforsamling hvor beslutningen træffes ved almindelig stemmeflertal.</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2. I tilfælde af kredsens opløsning anvendes dens midler efter generalforsamlingens nærmere bestemmelse efter kredsens formålsbestemmelse.</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Stk. 3. Ved kredsens opløsning tilfalder dog de til enhver tid værende midler i kredsens særlige fond, herunder eventuel fast ejendom, inventar etc. Danmarks Lærerforenings særlig fond.</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19</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Nærværende vedtægter kan ændres, når forslaget om ændring er optaget på dagsordenen for ordinær eller ekstraordinær generalforsamling, og når mindst 2/3 af de fremmødte medlemmer stemmer for.</w:t>
      </w:r>
    </w:p>
    <w:p w:rsidR="00E6676A" w:rsidRPr="00E416D9" w:rsidRDefault="00E6676A" w:rsidP="00E6676A">
      <w:pPr>
        <w:rPr>
          <w:rFonts w:asciiTheme="minorHAnsi" w:hAnsiTheme="minorHAnsi" w:cstheme="minorHAnsi"/>
          <w:b/>
          <w:sz w:val="24"/>
          <w:szCs w:val="24"/>
        </w:rPr>
      </w:pPr>
      <w:r w:rsidRPr="00E416D9">
        <w:rPr>
          <w:rFonts w:asciiTheme="minorHAnsi" w:hAnsiTheme="minorHAnsi" w:cstheme="minorHAnsi"/>
          <w:b/>
          <w:sz w:val="24"/>
          <w:szCs w:val="24"/>
        </w:rPr>
        <w:t>§ 20</w:t>
      </w:r>
    </w:p>
    <w:p w:rsidR="00E6676A" w:rsidRPr="00E416D9" w:rsidRDefault="00E6676A" w:rsidP="00E6676A">
      <w:pPr>
        <w:rPr>
          <w:rFonts w:asciiTheme="minorHAnsi" w:hAnsiTheme="minorHAnsi" w:cstheme="minorHAnsi"/>
          <w:sz w:val="24"/>
          <w:szCs w:val="24"/>
        </w:rPr>
      </w:pPr>
      <w:r w:rsidRPr="00E416D9">
        <w:rPr>
          <w:rFonts w:asciiTheme="minorHAnsi" w:hAnsiTheme="minorHAnsi" w:cstheme="minorHAnsi"/>
          <w:sz w:val="24"/>
          <w:szCs w:val="24"/>
        </w:rPr>
        <w:t>Nærværende vedtægter, de</w:t>
      </w:r>
      <w:r w:rsidR="000F68C4">
        <w:rPr>
          <w:rFonts w:asciiTheme="minorHAnsi" w:hAnsiTheme="minorHAnsi" w:cstheme="minorHAnsi"/>
          <w:sz w:val="24"/>
          <w:szCs w:val="24"/>
        </w:rPr>
        <w:t xml:space="preserve">r er vedtaget på kredsens </w:t>
      </w:r>
      <w:r w:rsidRPr="00E416D9">
        <w:rPr>
          <w:rFonts w:asciiTheme="minorHAnsi" w:hAnsiTheme="minorHAnsi" w:cstheme="minorHAnsi"/>
          <w:sz w:val="24"/>
          <w:szCs w:val="24"/>
        </w:rPr>
        <w:t>o</w:t>
      </w:r>
      <w:r w:rsidR="003F6CBE">
        <w:rPr>
          <w:rFonts w:asciiTheme="minorHAnsi" w:hAnsiTheme="minorHAnsi" w:cstheme="minorHAnsi"/>
          <w:sz w:val="24"/>
          <w:szCs w:val="24"/>
        </w:rPr>
        <w:t>rdinære generalforsamling den 3. september 2020</w:t>
      </w:r>
      <w:r w:rsidRPr="00E416D9">
        <w:rPr>
          <w:rFonts w:asciiTheme="minorHAnsi" w:hAnsiTheme="minorHAnsi" w:cstheme="minorHAnsi"/>
          <w:sz w:val="24"/>
          <w:szCs w:val="24"/>
        </w:rPr>
        <w:t xml:space="preserve"> træder i kraft straks.</w:t>
      </w:r>
    </w:p>
    <w:p w:rsidR="009C387F" w:rsidRDefault="009C387F"/>
    <w:p w:rsidR="008544A1" w:rsidRPr="00C244D2" w:rsidRDefault="00C244D2" w:rsidP="00C244D2">
      <w:pPr>
        <w:jc w:val="right"/>
        <w:rPr>
          <w:i/>
          <w:color w:val="FF0000"/>
        </w:rPr>
      </w:pPr>
      <w:bookmarkStart w:id="0" w:name="_GoBack"/>
      <w:bookmarkEnd w:id="0"/>
      <w:r w:rsidRPr="00C244D2">
        <w:rPr>
          <w:i/>
          <w:color w:val="FF0000"/>
        </w:rPr>
        <w:t>O:\53\Kreds 53\Vedtægter</w:t>
      </w:r>
    </w:p>
    <w:sectPr w:rsidR="008544A1" w:rsidRPr="00C244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6A"/>
    <w:rsid w:val="0004269B"/>
    <w:rsid w:val="000F68C4"/>
    <w:rsid w:val="002613F4"/>
    <w:rsid w:val="00390ECE"/>
    <w:rsid w:val="003F6CBE"/>
    <w:rsid w:val="008544A1"/>
    <w:rsid w:val="009C387F"/>
    <w:rsid w:val="00C244D2"/>
    <w:rsid w:val="00C97098"/>
    <w:rsid w:val="00DD69DA"/>
    <w:rsid w:val="00E667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6A"/>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6676A"/>
    <w:rPr>
      <w:color w:val="0000FF"/>
      <w:u w:val="single"/>
    </w:rPr>
  </w:style>
  <w:style w:type="paragraph" w:styleId="Markeringsbobletekst">
    <w:name w:val="Balloon Text"/>
    <w:basedOn w:val="Normal"/>
    <w:link w:val="MarkeringsbobletekstTegn"/>
    <w:uiPriority w:val="99"/>
    <w:semiHidden/>
    <w:unhideWhenUsed/>
    <w:rsid w:val="00C244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44D2"/>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6A"/>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6676A"/>
    <w:rPr>
      <w:color w:val="0000FF"/>
      <w:u w:val="single"/>
    </w:rPr>
  </w:style>
  <w:style w:type="paragraph" w:styleId="Markeringsbobletekst">
    <w:name w:val="Balloon Text"/>
    <w:basedOn w:val="Normal"/>
    <w:link w:val="MarkeringsbobletekstTegn"/>
    <w:uiPriority w:val="99"/>
    <w:semiHidden/>
    <w:unhideWhenUsed/>
    <w:rsid w:val="00C244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44D2"/>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9345">
      <w:bodyDiv w:val="1"/>
      <w:marLeft w:val="0"/>
      <w:marRight w:val="0"/>
      <w:marTop w:val="0"/>
      <w:marBottom w:val="0"/>
      <w:divBdr>
        <w:top w:val="none" w:sz="0" w:space="0" w:color="auto"/>
        <w:left w:val="none" w:sz="0" w:space="0" w:color="auto"/>
        <w:bottom w:val="none" w:sz="0" w:space="0" w:color="auto"/>
        <w:right w:val="none" w:sz="0" w:space="0" w:color="auto"/>
      </w:divBdr>
    </w:div>
    <w:div w:id="994264121">
      <w:bodyDiv w:val="1"/>
      <w:marLeft w:val="0"/>
      <w:marRight w:val="0"/>
      <w:marTop w:val="0"/>
      <w:marBottom w:val="0"/>
      <w:divBdr>
        <w:top w:val="none" w:sz="0" w:space="0" w:color="auto"/>
        <w:left w:val="none" w:sz="0" w:space="0" w:color="auto"/>
        <w:bottom w:val="none" w:sz="0" w:space="0" w:color="auto"/>
        <w:right w:val="none" w:sz="0" w:space="0" w:color="auto"/>
      </w:divBdr>
    </w:div>
    <w:div w:id="1134568454">
      <w:bodyDiv w:val="1"/>
      <w:marLeft w:val="0"/>
      <w:marRight w:val="0"/>
      <w:marTop w:val="0"/>
      <w:marBottom w:val="0"/>
      <w:divBdr>
        <w:top w:val="none" w:sz="0" w:space="0" w:color="auto"/>
        <w:left w:val="none" w:sz="0" w:space="0" w:color="auto"/>
        <w:bottom w:val="none" w:sz="0" w:space="0" w:color="auto"/>
        <w:right w:val="none" w:sz="0" w:space="0" w:color="auto"/>
      </w:divBdr>
    </w:div>
    <w:div w:id="1623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lkeskolen.dk" TargetMode="External"/><Relationship Id="rId5" Type="http://schemas.openxmlformats.org/officeDocument/2006/relationships/hyperlink" Target="http://www.folkeskol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8952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Storgård</dc:creator>
  <cp:lastModifiedBy>Anita Madsen</cp:lastModifiedBy>
  <cp:revision>3</cp:revision>
  <cp:lastPrinted>2020-01-21T09:56:00Z</cp:lastPrinted>
  <dcterms:created xsi:type="dcterms:W3CDTF">2020-09-24T08:57:00Z</dcterms:created>
  <dcterms:modified xsi:type="dcterms:W3CDTF">2020-09-24T08:58:00Z</dcterms:modified>
</cp:coreProperties>
</file>